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附件9：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扑克双扣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扑克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双扣</w:t>
      </w:r>
      <w:r>
        <w:rPr>
          <w:rFonts w:hint="eastAsia" w:ascii="仿宋_GB2312" w:hAnsi="仿宋_GB2312" w:eastAsia="仿宋_GB2312" w:cs="仿宋_GB2312"/>
          <w:sz w:val="32"/>
          <w:u w:val="none"/>
        </w:rPr>
        <w:t>结对</w:t>
      </w:r>
      <w:r>
        <w:rPr>
          <w:rFonts w:hint="eastAsia" w:ascii="仿宋_GB2312" w:hAnsi="仿宋_GB2312" w:eastAsia="仿宋_GB2312" w:cs="仿宋_GB2312"/>
          <w:sz w:val="32"/>
          <w:szCs w:val="32"/>
        </w:rPr>
        <w:t>赛(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搭档自配并固定、性别不限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照规定时间进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比赛开始一方迟到，超过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</w:rPr>
        <w:t>弃权。双方均迟到超过规定时限，判双方弃权。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文明参赛，公平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及现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 w:bidi="ar-SA"/>
        </w:rPr>
        <w:t>裁判员由银川市体育局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 w:bidi="ar-SA"/>
        </w:rPr>
        <w:t>按照资质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 w:bidi="ar-SA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 w:bidi="ar-SA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 w:bidi="ar-SA"/>
        </w:rPr>
        <w:t>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第一轮裁减赛，抽签决定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攻防对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手。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采取记分淘汰制。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第一轮裁减赛后，胜方自动晋级，以此类推。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通常首轮东方向洗牌5至6遍，由南方向切牌看点定首揭牌者，从南顺时针起算（1、5、9、13为南方向首揭）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其他类推。如出现2或两张王者，重切。从确点牌张下依次循环揭牌，每位25张牌，率先抢得庄者收底牌，依主调换，再扣下8张牌为底。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每轮竞赛时限60分钟，到时谁家升级高者为胜。如60分钟内先升级过“A”即为胜出。胜出者记2分。如时刻到升级同点位为平局，双方各记1分。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）每轮竞赛都从打“2”开始，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按规则升级。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）第一把牌的庄家以亮牌率先，亮出2个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一色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“2”可抢庄，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一色双2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亮出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不分大小，只分前后，后者为庄。但出现双王者（一色）可阻止一色双2的抢庄权。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2个“大王”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优权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于2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小王”亦可抢庄。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出现对一色双王者，一色两个2则无权抢庄。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（五）庄家确定后，扣底8张，其他方均可一色等级牌成对反扣底改变主牌颜色。如一色对王即按无主对待攻防。但庄家不变，攻防形式相同。例：庄家打5，一色对5或一色对王均可改变主的颜色，若对王为无主，其它以最后定色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）庄家一方的升级: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对立方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得“0”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，庄家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可连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升3级。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对立方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得分40分以下（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含40分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）,庄家可升2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级。得分方得分在40分以上80分以下（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不含80分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），庄家正常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晋升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）得分一方的升级:得分达80分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以上（含80分）即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上庄，从80分起每增40分可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一级，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如40分的倍数，即递升几级。例得200分，（200—80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）/40，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即升3级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其它依此。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扣底分数的计算:单扣底分X2，双扣底分X4，二连对扣底底分X8,三连对扣底底分X16，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）扣底的认定：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不分主副牌，大者即可。得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分方最后一把牌大住为扣底,不论几张牌，若都是单牌，算单扣，如有单张连带有对子或二个以上不连张的对子，都算双扣，二连对扣底则X8，三连对扣底则X16。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四、竞赛纪律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严格遵循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友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第一，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赛第二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的原则，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上一家未出牌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前，下一家不得提早出牌，甩牌若被挡住，出最小的，单牌挡住，出单牌最小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者，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双牌挡住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出双牌最小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（二）不得赖牌、偷牌、藏牌,不得通气、示意,注意文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明礼貌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和良好形象。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（三）竞赛中若出现纠葛,听从裁判裁决。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竞赛中不得随意离场处理个人事务，否则视为放弃。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攻防编排由筹委会电脑抽组，队员不得临时变更。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六、本规程解释权属赛事组委会。</w:t>
      </w:r>
    </w:p>
    <w:sectPr>
      <w:pgSz w:w="11906" w:h="16838"/>
      <w:pgMar w:top="2098" w:right="1474" w:bottom="1984" w:left="1587" w:header="850" w:footer="99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C2BDE"/>
    <w:rsid w:val="28F85E13"/>
    <w:rsid w:val="2A4F273D"/>
    <w:rsid w:val="2FFAF609"/>
    <w:rsid w:val="362C1FB4"/>
    <w:rsid w:val="36A62DE8"/>
    <w:rsid w:val="3C030C84"/>
    <w:rsid w:val="3FFBD424"/>
    <w:rsid w:val="4F7A7F88"/>
    <w:rsid w:val="56F8399D"/>
    <w:rsid w:val="5BE70EBC"/>
    <w:rsid w:val="64FD26D4"/>
    <w:rsid w:val="66B761B9"/>
    <w:rsid w:val="67C63DA6"/>
    <w:rsid w:val="69A72926"/>
    <w:rsid w:val="6B350B24"/>
    <w:rsid w:val="70B3744D"/>
    <w:rsid w:val="722861FD"/>
    <w:rsid w:val="7DAB61E0"/>
    <w:rsid w:val="7FD66866"/>
    <w:rsid w:val="B7CDB892"/>
    <w:rsid w:val="DAAD3385"/>
    <w:rsid w:val="DFE7F94F"/>
    <w:rsid w:val="DFFD6AFB"/>
    <w:rsid w:val="EFBE1D1B"/>
    <w:rsid w:val="FB5C692C"/>
    <w:rsid w:val="FBB9D22D"/>
    <w:rsid w:val="FD7F3450"/>
    <w:rsid w:val="FEFF27F0"/>
    <w:rsid w:val="FF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nhideWhenUsed="0" w:uiPriority="0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after="0" w:line="5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bjh-strong"/>
    <w:basedOn w:val="10"/>
    <w:qFormat/>
    <w:uiPriority w:val="0"/>
  </w:style>
  <w:style w:type="paragraph" w:customStyle="1" w:styleId="15">
    <w:name w:val="Body Text First Indent 2_66f30fab-d7b8-4ca0-aaae-4b1c4f65fa27"/>
    <w:basedOn w:val="16"/>
    <w:qFormat/>
    <w:uiPriority w:val="0"/>
    <w:pPr>
      <w:spacing w:line="520" w:lineRule="exact"/>
      <w:ind w:firstLine="420" w:firstLineChars="200"/>
    </w:pPr>
    <w:rPr>
      <w:rFonts w:ascii="仿宋_GB2312" w:hAnsi="宋体" w:eastAsia="仿宋_GB2312"/>
      <w:sz w:val="32"/>
      <w:szCs w:val="32"/>
    </w:rPr>
  </w:style>
  <w:style w:type="paragraph" w:customStyle="1" w:styleId="16">
    <w:name w:val="Body Text Indent_801c5819-b08a-4860-82b4-d9b0d7ddc875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692</Characters>
  <Lines>0</Lines>
  <Paragraphs>0</Paragraphs>
  <TotalTime>16</TotalTime>
  <ScaleCrop>false</ScaleCrop>
  <LinksUpToDate>false</LinksUpToDate>
  <CharactersWithSpaces>693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2020-12-29T13:57:00Z</dcterms:created>
  <dc:creator>Administrator</dc:creator>
  <cp:lastModifiedBy>yrong</cp:lastModifiedBy>
  <cp:lastPrinted>2024-05-28T18:00:00Z</cp:lastPrinted>
  <dcterms:modified xsi:type="dcterms:W3CDTF">2024-05-28T10:29:29Z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5CA05590D2884B7EB46D75F86517218C_12</vt:lpwstr>
  </property>
</Properties>
</file>