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“银辉杯”离退休干部体育健身比赛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u w:val="none"/>
          <w:lang w:val="en-US" w:eastAsia="zh-CN"/>
        </w:rPr>
        <w:t>扑克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掼蛋比赛规程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一、竞赛</w:t>
      </w:r>
      <w:r>
        <w:rPr>
          <w:rFonts w:hint="eastAsia" w:ascii="方正黑体_GBK" w:hAnsi="方正黑体_GBK" w:eastAsia="方正黑体_GBK" w:cs="方正黑体_GBK"/>
          <w:sz w:val="32"/>
          <w:u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扑克掼蛋</w:t>
      </w:r>
      <w:r>
        <w:rPr>
          <w:rFonts w:hint="eastAsia" w:ascii="仿宋_GB2312" w:hAnsi="仿宋_GB2312" w:eastAsia="仿宋_GB2312" w:cs="仿宋_GB2312"/>
          <w:sz w:val="32"/>
          <w:szCs w:val="32"/>
        </w:rPr>
        <w:t>双人赛(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搭档自配并固定、性别不限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照规定时间进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比赛开始一方迟到，超过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弃权。双方均迟到超过规定时限，判双方弃权。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文明参赛，公平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及现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（一）执行国家体育总局棋牌运动管理中心审定的《竞技掼蛋竞赛规则(试行)》及有关补充规定。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（二）本次比赛采用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时计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制，比赛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循环赛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(根据参赛人数可增减轮数)，每轮比赛限60分钟，有一方选手打过A,比赛不再继续，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即为胜局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。比赛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最后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3分钟时裁判长宣布打完手中牌，不再开启新牌局。每轮比赛结束时，过A者获胜，未过A时升级数高者获胜，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即记2分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，升级数相同算平局，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即双方各得1分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（三）第一轮对阵编排在赛前根据报名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统一抽签，决定选手的序号和桌号。入座时，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牌桌应放置隔档架。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选手号在前的队为主队，入座东西方向，选手号在后的队为客队，入座南北方向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；从第二轮开始，每轮都以累计场分的积分和级差分来进行编排，各选手须按指定的桌次与方位就座。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（四）计分方法：胜方场分记2分，负方记0，平则双方各计1分；轮空方积分计2分；级差分按26分制级差分计算。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（五）名次排定：总积分多者名次列前，总积分相等依次比较相等者级差分、直胜、胜轮数、对手分。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（六）首副牌，由东家洗牌5-6次，由南家切牌并翻出一张牌，如翻出的为王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牌或红心2，则重切重翻。从南家开始，依翻出牌张的牌点，按逆时针方向点数出首抓者，抓到翻出牌张者首圈领出牌。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（七）从第二副牌开始，每次洗牌应彻底洗2-3次。由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317500</wp:posOffset>
            </wp:positionV>
            <wp:extent cx="88900" cy="31750"/>
            <wp:effectExtent l="0" t="0" r="2540" b="13970"/>
            <wp:wrapNone/>
            <wp:docPr id="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3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上副牌上游的上家洗牌，上游切牌，下游首抓。双下时，下副牌由上游的下家首抓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（八）如上副牌出现双下，则双下方两名运动员均向对方进贡。上游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选择牌点较大的进贡者，搭档选择牌点较小的进贡者，并对应还牌。若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牌点相同，则按顺时针方向进贡，对应还牌。还牌时，将牌面向下，两位进贡者同时亮牌。还牌后，均由进贡给上游者首圈领出牌。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（九）报牌当运动员打出一手牌后，手中的剩余牌不超过10张时，应及时说“报牌”，同时将相应张数的报牌卡放在赛桌中央指定位置。运动员报牌后，如其他运动员没有看清楚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，可以立即提问或在本人取得出牌权时询问一次，不得反复报牌、追问余牌。未报牌或报错牌分别根据当圈牌、非当圈牌和出完牌等情况进行判罚。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（十）升级只有上游方可以升级，搭档二游升3级，搭档三游升2级，搭档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游升1级。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（十一）过“A”。A级必打，且上游的搭档必须获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得二游或三游，才算打过A级，否则需继续打“A”。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（十二）记分，记分表由西家记录逐副比赛结果，南、北家负责核对(如遇对手弃权、轮空，则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由临场裁判员指定在场的一方填写)。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（十三）比赛时间迟到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宣布比赛开始后，运动员未能在指定位置入座，为其所在一方迟到。迟到0-5分钟，未违规方升一级，从3打起；迟到5-10分钟，未违规方升二级，从4打起；迟到超过10分钟，本轮视为弃权。遇弃权的运动员，得分记2:0,级差分记17:0，升级数记4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（十四）过牌表态不要牌时必须使用过牌卡(PASS)来表示，报牌卡要在下家跟牌后拿回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来重新推报或当圈牌结束后收回。违者按第四类判罚尺度判罚。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（十五）暴露牌张出错牌、跟错牌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越序出牌、夹带的牌(非恶意)被发现并指出、未及时报牌出牌被判罚的牌张等均属于暴露牌张。对暴露牌张将根据不同情节分别给予警告、判罚停止当圈的领出牌权或跟牌权、扣2个级差等。所有的暴露牌张不得收回应明放在桌面，当取得下一圈领出牌权或跟牌权时，必须将这手牌先打出去；其搭档在有领出牌权时，前二手不得出这种牌型(只有这手牌型合理必打时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（十六）成绩更正时限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1.记分错误，应在该场比赛结束，运动员离开赛桌之前指出，可以更正。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2.公布成绩错误以及裁判以任何方式察觉的错误，应在该轮比赛结束后10分钟(含)之内指出，可以更正。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（十七）其它违规与判罚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1.对于比赛中出示或接打手机、利用手势、牌张摆放方式或肢体动作传递信息、在赛场内有吸烟及饮酒后参加比赛等行为，严格按纪律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性判罚第二类条款执行。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2.遵守纪律、服从裁判，尊重对手，不议论牌局，比赛结束后立即退出赛场，否则将视情节分别给予四类至二类判罚。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3.对于运动员在规则和规程中未列举的违规违纪行为：裁判长可以根据其违规违纪的性质、程度参照类似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规定酌情给出判罚。对于在赛场上不服从裁决、纠缠不休的，有恶意藏牌、偷牌、夹带牌等行为的，应立即给予二类及以上的判罚。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五、本规程解释权属赛事组委会。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0" w:footer="99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1345"/>
    <w:rsid w:val="15DEF4A7"/>
    <w:rsid w:val="1F2C2BDE"/>
    <w:rsid w:val="362C1FB4"/>
    <w:rsid w:val="36A62DE8"/>
    <w:rsid w:val="3C030C84"/>
    <w:rsid w:val="3DCB8690"/>
    <w:rsid w:val="424403A8"/>
    <w:rsid w:val="67C63DA6"/>
    <w:rsid w:val="722861FD"/>
    <w:rsid w:val="791C5F8E"/>
    <w:rsid w:val="7B793402"/>
    <w:rsid w:val="7DAB61E0"/>
    <w:rsid w:val="9DB3B869"/>
    <w:rsid w:val="BEF7A516"/>
    <w:rsid w:val="FFB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5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1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5">
    <w:name w:val="bjh-strong"/>
    <w:basedOn w:val="11"/>
    <w:qFormat/>
    <w:uiPriority w:val="0"/>
  </w:style>
  <w:style w:type="paragraph" w:customStyle="1" w:styleId="16">
    <w:name w:val="Body Text First Indent 2_66f30fab-d7b8-4ca0-aaae-4b1c4f65fa27"/>
    <w:basedOn w:val="17"/>
    <w:qFormat/>
    <w:uiPriority w:val="0"/>
    <w:pPr>
      <w:spacing w:line="520" w:lineRule="exact"/>
      <w:ind w:firstLine="420" w:firstLineChars="200"/>
    </w:pPr>
    <w:rPr>
      <w:rFonts w:ascii="仿宋_GB2312" w:hAnsi="宋体" w:eastAsia="仿宋_GB2312"/>
      <w:sz w:val="32"/>
      <w:szCs w:val="32"/>
    </w:rPr>
  </w:style>
  <w:style w:type="paragraph" w:customStyle="1" w:styleId="17">
    <w:name w:val="Body Text Indent_801c5819-b08a-4860-82b4-d9b0d7ddc875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1714</Words>
  <Characters>1749</Characters>
  <Lines>0</Lines>
  <Paragraphs>0</Paragraphs>
  <TotalTime>7</TotalTime>
  <ScaleCrop>false</ScaleCrop>
  <LinksUpToDate>false</LinksUpToDate>
  <CharactersWithSpaces>1757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2020-12-29T05:57:00Z</dcterms:created>
  <dc:creator>Administrator</dc:creator>
  <cp:lastModifiedBy>yrong</cp:lastModifiedBy>
  <dcterms:modified xsi:type="dcterms:W3CDTF">2024-05-28T10:29:02Z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5CA05590D2884B7EB46D75F86517218C_12</vt:lpwstr>
  </property>
</Properties>
</file>